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880EEA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D443A6" w:rsidRPr="00D443A6" w:rsidRDefault="00D443A6" w:rsidP="00D443A6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D443A6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D443A6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D443A6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D443A6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D443A6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D443A6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D443A6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D443A6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D443A6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D443A6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D443A6">
        <w:rPr>
          <w:color w:val="000000" w:themeColor="text1"/>
          <w:sz w:val="24"/>
          <w:szCs w:val="24"/>
        </w:rPr>
        <w:t>Ростова</w:t>
      </w:r>
      <w:proofErr w:type="spellEnd"/>
      <w:r w:rsidRPr="00D443A6">
        <w:rPr>
          <w:color w:val="000000" w:themeColor="text1"/>
          <w:sz w:val="24"/>
          <w:szCs w:val="24"/>
        </w:rPr>
        <w:t>-на-Дону от 25.11.2019г. №   «</w:t>
      </w:r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D443A6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E46F5F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 w:rsidRPr="00E46F5F">
              <w:rPr>
                <w:color w:val="0D0D0D"/>
                <w:spacing w:val="-2"/>
                <w:sz w:val="24"/>
                <w:szCs w:val="24"/>
              </w:rPr>
              <w:t>Музыкально-ритмические</w:t>
            </w:r>
            <w:r w:rsidRPr="00E46F5F">
              <w:rPr>
                <w:color w:val="0D0D0D"/>
                <w:spacing w:val="7"/>
                <w:sz w:val="24"/>
                <w:szCs w:val="24"/>
              </w:rPr>
              <w:t xml:space="preserve"> </w:t>
            </w:r>
            <w:r w:rsidRPr="00E46F5F">
              <w:rPr>
                <w:color w:val="0D0D0D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CD42C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CD42C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443A6" w:rsidRDefault="004910A1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</w:t>
      </w:r>
      <w:r w:rsidR="00D443A6"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E46F5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46F5F">
              <w:rPr>
                <w:color w:val="0D0D0D"/>
                <w:spacing w:val="-2"/>
                <w:sz w:val="24"/>
                <w:szCs w:val="24"/>
              </w:rPr>
              <w:t>Музыкально-ритмические</w:t>
            </w:r>
            <w:r w:rsidRPr="00E46F5F">
              <w:rPr>
                <w:color w:val="0D0D0D"/>
                <w:spacing w:val="7"/>
                <w:sz w:val="24"/>
                <w:szCs w:val="24"/>
              </w:rPr>
              <w:t xml:space="preserve"> </w:t>
            </w:r>
            <w:r w:rsidRPr="00E46F5F">
              <w:rPr>
                <w:color w:val="0D0D0D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E46F5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CD42C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2 960,28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E41986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F5468A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46F5F">
              <w:rPr>
                <w:color w:val="0D0D0D"/>
                <w:spacing w:val="-2"/>
                <w:sz w:val="24"/>
                <w:szCs w:val="24"/>
              </w:rPr>
              <w:t>Музыкально-ритмические</w:t>
            </w:r>
            <w:r w:rsidRPr="00E46F5F">
              <w:rPr>
                <w:color w:val="0D0D0D"/>
                <w:spacing w:val="7"/>
                <w:sz w:val="24"/>
                <w:szCs w:val="24"/>
              </w:rPr>
              <w:t xml:space="preserve"> </w:t>
            </w:r>
            <w:r w:rsidRPr="00E46F5F">
              <w:rPr>
                <w:color w:val="0D0D0D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D42CF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21B08"/>
    <w:rsid w:val="00075948"/>
    <w:rsid w:val="000D676A"/>
    <w:rsid w:val="00160C6D"/>
    <w:rsid w:val="00177EC9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B241B"/>
    <w:rsid w:val="00541746"/>
    <w:rsid w:val="00725D89"/>
    <w:rsid w:val="00880EEA"/>
    <w:rsid w:val="0091325B"/>
    <w:rsid w:val="00994F6F"/>
    <w:rsid w:val="009F3F61"/>
    <w:rsid w:val="00A17DCD"/>
    <w:rsid w:val="00A41555"/>
    <w:rsid w:val="00AB0B47"/>
    <w:rsid w:val="00BD039C"/>
    <w:rsid w:val="00C3067F"/>
    <w:rsid w:val="00C44A3B"/>
    <w:rsid w:val="00C6253D"/>
    <w:rsid w:val="00C7107D"/>
    <w:rsid w:val="00CA090E"/>
    <w:rsid w:val="00CD42CF"/>
    <w:rsid w:val="00D443A6"/>
    <w:rsid w:val="00E41986"/>
    <w:rsid w:val="00E46F5F"/>
    <w:rsid w:val="00E539BF"/>
    <w:rsid w:val="00E72944"/>
    <w:rsid w:val="00E91944"/>
    <w:rsid w:val="00EB6C05"/>
    <w:rsid w:val="00EC72AE"/>
    <w:rsid w:val="00EE700F"/>
    <w:rsid w:val="00F5468A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A9E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D4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0B38-89AE-487A-8AFC-A604C16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2022-03-29T12:24:00Z</cp:lastPrinted>
  <dcterms:created xsi:type="dcterms:W3CDTF">2023-08-29T14:41:00Z</dcterms:created>
  <dcterms:modified xsi:type="dcterms:W3CDTF">2023-09-05T11:10:00Z</dcterms:modified>
</cp:coreProperties>
</file>